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055AB26C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600</w:t>
      </w:r>
    </w:p>
    <w:p w14:paraId="6F51BD75" w14:textId="08EEC2A4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7B6726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53D828DC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7B6726">
        <w:rPr>
          <w:rFonts w:ascii="Arial" w:hAnsi="Arial" w:cs="Arial"/>
          <w:b/>
          <w:bCs/>
          <w:sz w:val="22"/>
          <w:szCs w:val="22"/>
        </w:rPr>
        <w:t>4</w:t>
      </w:r>
      <w:r w:rsidR="00A322C9">
        <w:rPr>
          <w:rFonts w:ascii="Arial" w:hAnsi="Arial" w:cs="Arial"/>
          <w:b/>
          <w:bCs/>
          <w:sz w:val="22"/>
          <w:szCs w:val="22"/>
        </w:rPr>
        <w:t>th</w:t>
      </w:r>
      <w:r w:rsidR="00EC5EF5">
        <w:rPr>
          <w:rFonts w:ascii="Arial" w:hAnsi="Arial" w:cs="Arial"/>
          <w:b/>
          <w:bCs/>
          <w:sz w:val="22"/>
          <w:szCs w:val="22"/>
        </w:rPr>
        <w:t xml:space="preserve"> </w:t>
      </w:r>
      <w:r w:rsidR="00E813F9">
        <w:rPr>
          <w:rFonts w:ascii="Arial" w:hAnsi="Arial" w:cs="Arial"/>
          <w:b/>
          <w:bCs/>
          <w:sz w:val="22"/>
          <w:szCs w:val="22"/>
        </w:rPr>
        <w:t>Ju</w:t>
      </w:r>
      <w:r w:rsidR="007B6726">
        <w:rPr>
          <w:rFonts w:ascii="Arial" w:hAnsi="Arial" w:cs="Arial"/>
          <w:b/>
          <w:bCs/>
          <w:sz w:val="22"/>
          <w:szCs w:val="22"/>
        </w:rPr>
        <w:t>ly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7C411B09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“public question time”.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6294AC5B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443C9F">
        <w:rPr>
          <w:rFonts w:ascii="Arial" w:hAnsi="Arial" w:cs="Arial"/>
          <w:sz w:val="22"/>
          <w:szCs w:val="22"/>
        </w:rPr>
        <w:t>6</w:t>
      </w:r>
      <w:r w:rsidR="002D535B" w:rsidRPr="002D535B">
        <w:rPr>
          <w:rFonts w:ascii="Arial" w:hAnsi="Arial" w:cs="Arial"/>
          <w:sz w:val="22"/>
          <w:szCs w:val="22"/>
          <w:vertAlign w:val="superscript"/>
        </w:rPr>
        <w:t>th</w:t>
      </w:r>
      <w:r w:rsidR="002D53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3C9F">
        <w:rPr>
          <w:rFonts w:ascii="Arial" w:hAnsi="Arial" w:cs="Arial"/>
          <w:sz w:val="22"/>
          <w:szCs w:val="22"/>
        </w:rPr>
        <w:t>June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6B77BBB" w14:textId="7524BA04" w:rsidR="007C1117" w:rsidRDefault="00593799" w:rsidP="00E813F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51FA3215" w14:textId="77777777" w:rsidR="005D779F" w:rsidRDefault="005D779F" w:rsidP="005D779F">
      <w:pPr>
        <w:pStyle w:val="ListParagraph"/>
        <w:rPr>
          <w:b/>
          <w:bCs/>
        </w:rPr>
      </w:pPr>
    </w:p>
    <w:p w14:paraId="5455880B" w14:textId="6BF58F1D" w:rsidR="00EA1514" w:rsidRDefault="00EA1514" w:rsidP="00EA1514">
      <w:pPr>
        <w:ind w:left="360"/>
        <w:rPr>
          <w:b/>
          <w:bCs/>
        </w:rPr>
      </w:pPr>
      <w:r w:rsidRPr="0008448C">
        <w:rPr>
          <w:b/>
          <w:bCs/>
        </w:rPr>
        <w:t>S/HOU/22/0839</w:t>
      </w:r>
      <w:r w:rsidRPr="00EA1514">
        <w:t xml:space="preserve"> Erection of a single </w:t>
      </w:r>
      <w:proofErr w:type="spellStart"/>
      <w:r w:rsidRPr="00EA1514">
        <w:t>storey</w:t>
      </w:r>
      <w:proofErr w:type="spellEnd"/>
      <w:r w:rsidRPr="00EA1514">
        <w:t xml:space="preserve"> rear extension, conversion of garage to habitable</w:t>
      </w:r>
      <w:r>
        <w:t xml:space="preserve"> </w:t>
      </w:r>
      <w:r w:rsidRPr="00EA1514">
        <w:t xml:space="preserve">space and Solar panels on roof at 5 The Mews, </w:t>
      </w:r>
      <w:proofErr w:type="spellStart"/>
      <w:r w:rsidRPr="00EA1514">
        <w:t>Russley</w:t>
      </w:r>
      <w:proofErr w:type="spellEnd"/>
      <w:r w:rsidRPr="00EA1514">
        <w:t xml:space="preserve"> Park. </w:t>
      </w:r>
      <w:r w:rsidRPr="00443C9F">
        <w:rPr>
          <w:b/>
          <w:bCs/>
        </w:rPr>
        <w:t xml:space="preserve">Comments by </w:t>
      </w:r>
      <w:r w:rsidR="0008448C" w:rsidRPr="00443C9F">
        <w:rPr>
          <w:b/>
          <w:bCs/>
        </w:rPr>
        <w:t>6/7.</w:t>
      </w:r>
    </w:p>
    <w:p w14:paraId="323A8211" w14:textId="73198B56" w:rsidR="00196F99" w:rsidRPr="00196F99" w:rsidRDefault="00E1652C" w:rsidP="00E1652C">
      <w:pPr>
        <w:ind w:left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="00196F99" w:rsidRPr="00196F99">
        <w:t>Demolition of existing outbuilding and erection of garage and store to the</w:t>
      </w:r>
    </w:p>
    <w:p w14:paraId="25AC300D" w14:textId="588C0263" w:rsidR="00E1652C" w:rsidRDefault="00196F99" w:rsidP="00E1652C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 w:rsidR="00E1652C">
        <w:t xml:space="preserve"> </w:t>
      </w:r>
      <w:r w:rsidR="00E1652C" w:rsidRPr="00443C9F">
        <w:rPr>
          <w:b/>
          <w:bCs/>
        </w:rPr>
        <w:t xml:space="preserve">Comments by </w:t>
      </w:r>
      <w:r w:rsidR="00E1652C">
        <w:rPr>
          <w:b/>
          <w:bCs/>
        </w:rPr>
        <w:t>7</w:t>
      </w:r>
      <w:r w:rsidR="00E1652C" w:rsidRPr="00443C9F">
        <w:rPr>
          <w:b/>
          <w:bCs/>
        </w:rPr>
        <w:t>/7.</w:t>
      </w:r>
    </w:p>
    <w:p w14:paraId="7FB84059" w14:textId="77777777" w:rsidR="001359C4" w:rsidRPr="007C1117" w:rsidRDefault="001359C4" w:rsidP="007C1117"/>
    <w:p w14:paraId="76ADFD37" w14:textId="77777777" w:rsidR="00A50932" w:rsidRDefault="00531686" w:rsidP="004C6B7E">
      <w:r>
        <w:rPr>
          <w:b/>
          <w:bCs/>
        </w:rPr>
        <w:t xml:space="preserve">      </w:t>
      </w:r>
      <w:r w:rsidR="009539B5" w:rsidRPr="00643014">
        <w:rPr>
          <w:b/>
          <w:bCs/>
        </w:rPr>
        <w:t>LATE RECEIPT OF PLANNING NOTIFICATIONS</w:t>
      </w:r>
      <w:r w:rsidR="007830D7">
        <w:tab/>
      </w:r>
    </w:p>
    <w:p w14:paraId="0099DBC1" w14:textId="77777777" w:rsidR="00E813F9" w:rsidRDefault="004C6B7E" w:rsidP="00E813F9">
      <w:r>
        <w:t xml:space="preserve">      </w:t>
      </w:r>
    </w:p>
    <w:p w14:paraId="3EC1ACAF" w14:textId="74D3E8E0" w:rsidR="009539B5" w:rsidRPr="00643014" w:rsidRDefault="009539B5" w:rsidP="00E813F9">
      <w:pPr>
        <w:ind w:firstLine="360"/>
        <w:rPr>
          <w:b/>
          <w:bCs/>
        </w:rPr>
      </w:pPr>
      <w:r w:rsidRPr="00643014">
        <w:rPr>
          <w:b/>
          <w:bCs/>
        </w:rPr>
        <w:t>PENDING DETERMINATION</w:t>
      </w:r>
    </w:p>
    <w:p w14:paraId="734553DD" w14:textId="355BF8DF" w:rsidR="0008448C" w:rsidRPr="00E1652C" w:rsidRDefault="0008448C" w:rsidP="00E1652C">
      <w:pPr>
        <w:suppressAutoHyphens w:val="0"/>
        <w:autoSpaceDE w:val="0"/>
        <w:adjustRightInd w:val="0"/>
        <w:spacing w:line="240" w:lineRule="auto"/>
        <w:ind w:firstLine="360"/>
        <w:rPr>
          <w:rFonts w:eastAsiaTheme="minorHAnsi"/>
          <w:lang w:val="en-GB" w:eastAsia="en-US"/>
        </w:rPr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</w:p>
    <w:p w14:paraId="45AF383A" w14:textId="77777777" w:rsidR="0008448C" w:rsidRPr="0075138C" w:rsidRDefault="0008448C" w:rsidP="0008448C">
      <w:pPr>
        <w:ind w:left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 Parva</w:t>
      </w:r>
      <w:r>
        <w:t xml:space="preserve">. </w:t>
      </w:r>
    </w:p>
    <w:p w14:paraId="299030B0" w14:textId="6E0CD51F" w:rsidR="00E813F9" w:rsidRDefault="00E813F9" w:rsidP="0008448C">
      <w:pPr>
        <w:ind w:firstLine="360"/>
      </w:pPr>
      <w:r w:rsidRPr="001F2F99">
        <w:rPr>
          <w:b/>
          <w:bCs/>
        </w:rPr>
        <w:t>S/HOU/22/0554</w:t>
      </w:r>
      <w:r w:rsidRPr="001F2F99">
        <w:t xml:space="preserve"> Erection of a </w:t>
      </w:r>
      <w:proofErr w:type="gramStart"/>
      <w:r w:rsidRPr="001F2F99">
        <w:t>first floor</w:t>
      </w:r>
      <w:proofErr w:type="gramEnd"/>
      <w:r w:rsidRPr="001F2F99">
        <w:t xml:space="preserve">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1BA8A4E9" w14:textId="77777777" w:rsidR="00E813F9" w:rsidRDefault="00E813F9" w:rsidP="00E813F9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>.</w:t>
      </w:r>
    </w:p>
    <w:p w14:paraId="22EB1E61" w14:textId="25AD4A8B" w:rsidR="00E813F9" w:rsidRDefault="00E813F9" w:rsidP="00E813F9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</w:p>
    <w:p w14:paraId="30F92586" w14:textId="77777777" w:rsidR="00E813F9" w:rsidRPr="004C6B7E" w:rsidRDefault="00E813F9" w:rsidP="00E813F9">
      <w:pPr>
        <w:ind w:firstLine="360"/>
      </w:pPr>
      <w:r w:rsidRPr="004C6B7E">
        <w:rPr>
          <w:b/>
          <w:bCs/>
        </w:rPr>
        <w:t>S/22/0687</w:t>
      </w:r>
      <w:r w:rsidRPr="004C6B7E">
        <w:t xml:space="preserve"> Erection of 1no. dwelling and garage/ workshop without compliance with</w:t>
      </w:r>
    </w:p>
    <w:p w14:paraId="6121634D" w14:textId="77777777" w:rsidR="00E813F9" w:rsidRDefault="00E813F9" w:rsidP="00E813F9">
      <w:r>
        <w:t xml:space="preserve">      </w:t>
      </w:r>
      <w:r w:rsidRPr="004C6B7E">
        <w:t>condition 2 (Approved Drawings) from previous permission S/21/0698</w:t>
      </w:r>
      <w:r>
        <w:t xml:space="preserve"> at</w:t>
      </w:r>
      <w:r w:rsidRPr="004C6B7E">
        <w:t xml:space="preserve"> Upper Farm, </w:t>
      </w:r>
    </w:p>
    <w:p w14:paraId="58EB6C75" w14:textId="77777777" w:rsidR="00E813F9" w:rsidRPr="00663A27" w:rsidRDefault="00E813F9" w:rsidP="00E813F9">
      <w:pPr>
        <w:rPr>
          <w:b/>
          <w:bCs/>
        </w:rPr>
      </w:pPr>
      <w:r>
        <w:t xml:space="preserve">      H</w:t>
      </w:r>
      <w:r w:rsidRPr="004C6B7E">
        <w:t>inton Parva Lane</w:t>
      </w:r>
      <w:r>
        <w:t>,</w:t>
      </w:r>
      <w:r w:rsidRPr="004C6B7E">
        <w:t xml:space="preserve"> Hinton </w:t>
      </w:r>
      <w:r>
        <w:t>Parva.</w:t>
      </w:r>
    </w:p>
    <w:p w14:paraId="2BCD4D63" w14:textId="77777777" w:rsidR="00D5304D" w:rsidRDefault="00D5304D" w:rsidP="00D5304D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7E1EA1C2" w14:textId="332156FA" w:rsidR="00D5304D" w:rsidRDefault="00D5304D" w:rsidP="00D5304D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56DD586A" w14:textId="34AB3791" w:rsidR="001F2F99" w:rsidRDefault="001F2F99" w:rsidP="001F2F99">
      <w:pPr>
        <w:ind w:left="360"/>
        <w:rPr>
          <w:b/>
          <w:bCs/>
        </w:rPr>
      </w:pPr>
      <w:r w:rsidRPr="00D8504D">
        <w:rPr>
          <w:rFonts w:ascii="ArialMT" w:hAnsi="ArialMT" w:cs="ArialMT"/>
          <w:b/>
          <w:bCs/>
          <w:lang w:val="en-GB" w:eastAsia="en-US"/>
        </w:rPr>
        <w:t>S/22/0401</w:t>
      </w:r>
      <w:r>
        <w:rPr>
          <w:rFonts w:ascii="ArialMT" w:hAnsi="ArialMT" w:cs="ArialMT"/>
          <w:lang w:val="en-GB" w:eastAsia="en-US"/>
        </w:rPr>
        <w:t xml:space="preserve"> </w:t>
      </w:r>
      <w:r w:rsidRPr="009B454A">
        <w:t xml:space="preserve">Erection of 1no. dwelling, detached </w:t>
      </w:r>
      <w:proofErr w:type="gramStart"/>
      <w:r w:rsidRPr="009B454A">
        <w:t>garage</w:t>
      </w:r>
      <w:proofErr w:type="gramEnd"/>
      <w:r w:rsidRPr="009B454A">
        <w:t xml:space="preserve"> and associated works - Variation of</w:t>
      </w:r>
      <w:r>
        <w:t xml:space="preserve"> </w:t>
      </w:r>
      <w:r w:rsidRPr="009B454A">
        <w:t>Condition 2 (Plans List) from Planning Permission S/19/0821</w:t>
      </w:r>
      <w:r>
        <w:t xml:space="preserve"> at</w:t>
      </w:r>
      <w:r w:rsidRPr="009B454A">
        <w:t xml:space="preserve"> </w:t>
      </w:r>
      <w:proofErr w:type="spellStart"/>
      <w:r w:rsidRPr="009B454A">
        <w:t>Netherwater</w:t>
      </w:r>
      <w:proofErr w:type="spellEnd"/>
      <w:r w:rsidRPr="009B454A">
        <w:t>, City Corner</w:t>
      </w:r>
      <w:r>
        <w:t xml:space="preserve">, </w:t>
      </w:r>
      <w:r w:rsidRPr="009B454A">
        <w:t>Hinton Parva</w:t>
      </w:r>
      <w:r>
        <w:t xml:space="preserve">. </w:t>
      </w:r>
    </w:p>
    <w:p w14:paraId="45680E40" w14:textId="50FC3868" w:rsidR="00D301DC" w:rsidRPr="00143AD4" w:rsidRDefault="00D301DC" w:rsidP="007A6C5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43AD4">
        <w:rPr>
          <w:rFonts w:eastAsiaTheme="minorHAnsi"/>
          <w:b/>
          <w:bCs/>
          <w:lang w:val="en-GB" w:eastAsia="en-US"/>
        </w:rPr>
        <w:lastRenderedPageBreak/>
        <w:t xml:space="preserve">S/22/0047 </w:t>
      </w:r>
      <w:r w:rsidRPr="00143AD4">
        <w:rPr>
          <w:rFonts w:eastAsiaTheme="minorHAnsi"/>
          <w:lang w:val="en-GB" w:eastAsia="en-US"/>
        </w:rPr>
        <w:t>Retention of alterations to former agricultural building to provide stables and erection of a farm machinery storage building at land to the north of Grove Cottages, Hinton Parva Lane, Hinton Parva.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5BC7EBA9" w14:textId="627E6E8E" w:rsidR="009539B5" w:rsidRPr="00643014" w:rsidRDefault="009539B5" w:rsidP="008533CC">
      <w:pPr>
        <w:suppressAutoHyphens w:val="0"/>
        <w:autoSpaceDN/>
        <w:spacing w:line="259" w:lineRule="auto"/>
        <w:ind w:left="357"/>
      </w:pPr>
      <w:r w:rsidRPr="00643014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</w:t>
      </w:r>
      <w:proofErr w:type="gramStart"/>
      <w:r w:rsidRPr="00643014">
        <w:t>Farm House</w:t>
      </w:r>
      <w:proofErr w:type="gramEnd"/>
      <w:r w:rsidRPr="00643014">
        <w:t>, Church Row, Hinton Parva.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77777777" w:rsidR="009539B5" w:rsidRPr="00643014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77777777" w:rsidR="009539B5" w:rsidRPr="00643014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B1D6DBD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2307B6F7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7A02EA42" w14:textId="0EB71F47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22379C38" w14:textId="690A4C76" w:rsidR="005E36E2" w:rsidRDefault="005E36E2" w:rsidP="0002551F">
      <w:pPr>
        <w:ind w:left="360"/>
      </w:pPr>
      <w:r w:rsidRPr="006675E0">
        <w:rPr>
          <w:b/>
          <w:bCs/>
        </w:rPr>
        <w:t>S/TWC/22/0708/LAND</w:t>
      </w:r>
      <w:r w:rsidR="006675E0" w:rsidRPr="006675E0">
        <w:t xml:space="preserve"> Works to trees (2no. yews) within a Conservation Area</w:t>
      </w:r>
      <w:r w:rsidR="0002551F">
        <w:t xml:space="preserve"> at </w:t>
      </w:r>
      <w:r w:rsidR="006675E0" w:rsidRPr="006675E0">
        <w:t>The Folly, Nell Hill, Bishopstone</w:t>
      </w:r>
      <w:r w:rsidR="006675E0">
        <w:t>.</w:t>
      </w:r>
    </w:p>
    <w:p w14:paraId="499CEFFE" w14:textId="77777777" w:rsidR="005B1C1A" w:rsidRDefault="005B1C1A" w:rsidP="005B1C1A">
      <w:pPr>
        <w:ind w:left="360"/>
        <w:rPr>
          <w:b/>
          <w:bCs/>
        </w:rPr>
      </w:pPr>
      <w:r w:rsidRPr="001840C4">
        <w:rPr>
          <w:rFonts w:ascii="ArialMT" w:hAnsi="ArialMT" w:cs="ArialMT"/>
          <w:b/>
          <w:bCs/>
          <w:lang w:val="en-GB" w:eastAsia="en-US"/>
        </w:rPr>
        <w:t>S/22/0461</w:t>
      </w:r>
      <w:r>
        <w:rPr>
          <w:rFonts w:ascii="ArialMT" w:hAnsi="ArialMT" w:cs="ArialMT"/>
          <w:lang w:val="en-GB" w:eastAsia="en-US"/>
        </w:rPr>
        <w:t xml:space="preserve"> </w:t>
      </w:r>
      <w:r w:rsidRPr="004F11BF">
        <w:t>Demolition of The Chalet and erection of 1no. dwelling without compliance</w:t>
      </w:r>
      <w:r>
        <w:t xml:space="preserve"> </w:t>
      </w:r>
      <w:r w:rsidRPr="004F11BF">
        <w:t>with condition 2 (Approved Drawings) from previous permission S/21/1426</w:t>
      </w:r>
      <w:r>
        <w:t xml:space="preserve"> at</w:t>
      </w:r>
      <w:r w:rsidRPr="004F11BF">
        <w:t xml:space="preserve"> The Chalet, Church Row</w:t>
      </w:r>
      <w:r>
        <w:t>,</w:t>
      </w:r>
      <w:r w:rsidRPr="004F11BF">
        <w:t xml:space="preserve"> Hinton Parva</w:t>
      </w:r>
      <w:r>
        <w:t xml:space="preserve">. </w:t>
      </w:r>
    </w:p>
    <w:p w14:paraId="388BE457" w14:textId="438F8EC3" w:rsidR="00083FD5" w:rsidRDefault="00314948" w:rsidP="00EA366A">
      <w:pPr>
        <w:rPr>
          <w:rFonts w:eastAsiaTheme="minorHAnsi"/>
          <w:b/>
          <w:bCs/>
        </w:rPr>
      </w:pPr>
      <w:r>
        <w:rPr>
          <w:b/>
          <w:bCs/>
        </w:rPr>
        <w:t xml:space="preserve">      </w:t>
      </w: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20B507A1" w:rsidR="0014484D" w:rsidRDefault="0014484D" w:rsidP="00A00532">
      <w:pPr>
        <w:ind w:left="360"/>
      </w:pPr>
      <w:r w:rsidRPr="00A00532">
        <w:rPr>
          <w:b/>
          <w:bCs/>
        </w:rPr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 xml:space="preserve">. (Use Classes A1/ A2/A3/A4/A5/ B1 &amp; D1) and 2.2 ha land for a primary school with associated parking, landscaping, </w:t>
      </w:r>
      <w:proofErr w:type="gramStart"/>
      <w:r w:rsidR="00A00532" w:rsidRPr="00A00532">
        <w:t>drainage</w:t>
      </w:r>
      <w:proofErr w:type="gramEnd"/>
      <w:r w:rsidR="00A00532" w:rsidRPr="00A00532">
        <w:t xml:space="preserve">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</w:p>
    <w:p w14:paraId="5BF26B67" w14:textId="05B09875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  <w:r w:rsidRPr="00841F00">
        <w:rPr>
          <w:b/>
          <w:bCs/>
        </w:rPr>
        <w:t>Comments by 12/7.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1E45553A" w:rsidR="00593799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7195A3DE" w14:textId="198BABAA" w:rsidR="0034725A" w:rsidRPr="0034725A" w:rsidRDefault="00593799" w:rsidP="0034725A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Fibr</w:t>
      </w:r>
      <w:r w:rsidR="006A0BA1">
        <w:rPr>
          <w:rFonts w:ascii="Arial" w:hAnsi="Arial" w:cs="Arial"/>
          <w:b/>
          <w:bCs/>
          <w:sz w:val="22"/>
          <w:szCs w:val="22"/>
        </w:rPr>
        <w:t>e broadband</w:t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013CB9" w:rsidRPr="006A0BA1">
        <w:rPr>
          <w:rFonts w:ascii="Arial" w:hAnsi="Arial" w:cs="Arial"/>
          <w:b/>
          <w:bCs/>
          <w:sz w:val="22"/>
          <w:szCs w:val="22"/>
        </w:rPr>
        <w:tab/>
      </w:r>
      <w:r w:rsidR="00483E97" w:rsidRPr="006A0BA1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34725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4725A" w:rsidRPr="0034725A">
        <w:rPr>
          <w:rFonts w:ascii="Arial" w:hAnsi="Arial" w:cs="Arial"/>
          <w:b/>
          <w:bCs/>
          <w:sz w:val="22"/>
          <w:szCs w:val="22"/>
        </w:rPr>
        <w:tab/>
      </w:r>
      <w:r w:rsidR="0034725A" w:rsidRPr="0034725A">
        <w:rPr>
          <w:rFonts w:ascii="Arial" w:hAnsi="Arial" w:cs="Arial"/>
          <w:bCs/>
          <w:sz w:val="22"/>
          <w:szCs w:val="22"/>
        </w:rPr>
        <w:t>VB</w:t>
      </w:r>
      <w:r w:rsidR="0034725A" w:rsidRPr="0034725A">
        <w:rPr>
          <w:rFonts w:ascii="Arial" w:hAnsi="Arial" w:cs="Arial"/>
          <w:b/>
          <w:bCs/>
          <w:sz w:val="22"/>
          <w:szCs w:val="22"/>
        </w:rPr>
        <w:tab/>
      </w:r>
      <w:r w:rsidR="0034725A" w:rsidRPr="0034725A">
        <w:rPr>
          <w:rFonts w:ascii="Arial" w:hAnsi="Arial" w:cs="Arial"/>
          <w:b/>
          <w:bCs/>
          <w:sz w:val="22"/>
          <w:szCs w:val="22"/>
        </w:rPr>
        <w:tab/>
      </w:r>
      <w:r w:rsidR="0034725A" w:rsidRPr="0034725A">
        <w:rPr>
          <w:rFonts w:ascii="Arial" w:hAnsi="Arial" w:cs="Arial"/>
          <w:bCs/>
          <w:sz w:val="22"/>
          <w:szCs w:val="22"/>
        </w:rPr>
        <w:t xml:space="preserve"> </w:t>
      </w:r>
    </w:p>
    <w:p w14:paraId="468B396E" w14:textId="136054E9" w:rsidR="00B37AF8" w:rsidRPr="0088265E" w:rsidRDefault="006A0BA1" w:rsidP="0088265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Casual vacancy on parish co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uncil                                                                              </w:t>
      </w:r>
      <w:r w:rsidRPr="0088265E">
        <w:rPr>
          <w:rFonts w:ascii="Arial" w:hAnsi="Arial" w:cs="Arial"/>
          <w:bCs/>
          <w:sz w:val="22"/>
          <w:szCs w:val="22"/>
        </w:rPr>
        <w:t>VB</w:t>
      </w:r>
      <w:r w:rsidR="00A31554" w:rsidRPr="0088265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7B606E" w:rsidRPr="0088265E">
        <w:rPr>
          <w:rFonts w:ascii="Arial" w:hAnsi="Arial" w:cs="Arial"/>
          <w:sz w:val="22"/>
          <w:szCs w:val="22"/>
        </w:rPr>
        <w:t xml:space="preserve">        </w:t>
      </w:r>
      <w:r w:rsidR="00593799" w:rsidRPr="0088265E">
        <w:rPr>
          <w:rFonts w:ascii="Arial" w:hAnsi="Arial" w:cs="Arial"/>
          <w:sz w:val="22"/>
          <w:szCs w:val="22"/>
        </w:rPr>
        <w:t xml:space="preserve">    </w:t>
      </w:r>
    </w:p>
    <w:p w14:paraId="04FB3372" w14:textId="77777777" w:rsidR="00B37AF8" w:rsidRDefault="00B37AF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17522338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09944A60" w14:textId="09B985AB" w:rsidR="00360D25" w:rsidRPr="0034725A" w:rsidRDefault="00360D25" w:rsidP="00360D25">
      <w:pPr>
        <w:pStyle w:val="Default"/>
        <w:numPr>
          <w:ilvl w:val="0"/>
          <w:numId w:val="11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Public right of way </w:t>
      </w:r>
      <w:proofErr w:type="gramStart"/>
      <w:r>
        <w:rPr>
          <w:rFonts w:ascii="Arial" w:hAnsi="Arial" w:cs="Arial"/>
          <w:bCs/>
          <w:sz w:val="22"/>
          <w:szCs w:val="22"/>
        </w:rPr>
        <w:t>claim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by residents (JC/VB)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6A7D5E0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lastRenderedPageBreak/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0BD7BDD0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6E998AF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Correspondence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2718C940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9004D8">
        <w:t>4</w:t>
      </w:r>
      <w:r w:rsidR="00AD1D6F" w:rsidRPr="007A5E1F">
        <w:rPr>
          <w:vertAlign w:val="superscript"/>
        </w:rPr>
        <w:t>th</w:t>
      </w:r>
      <w:r w:rsidR="00AD1D6F">
        <w:t xml:space="preserve"> </w:t>
      </w:r>
      <w:r w:rsidR="00037042">
        <w:t>Ju</w:t>
      </w:r>
      <w:r w:rsidR="009004D8">
        <w:t>ly</w:t>
      </w:r>
      <w:r>
        <w:t xml:space="preserve"> 202</w:t>
      </w:r>
      <w:r w:rsidR="001C33CF">
        <w:t>2</w:t>
      </w:r>
      <w:r>
        <w:t xml:space="preserve"> at </w:t>
      </w:r>
      <w:r w:rsidR="00443C9F">
        <w:t>Hinton Parva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 xml:space="preserve">Any changes will be posted on noticeboards, </w:t>
      </w:r>
      <w:proofErr w:type="gramStart"/>
      <w:r w:rsidRPr="007A5E1F">
        <w:rPr>
          <w:lang w:val="en-GB"/>
        </w:rPr>
        <w:t>website</w:t>
      </w:r>
      <w:proofErr w:type="gramEnd"/>
      <w:r w:rsidRPr="007A5E1F">
        <w:rPr>
          <w:lang w:val="en-GB"/>
        </w:rPr>
        <w:t xml:space="preserve">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23383338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E119F0B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6F8DCA39" w:rsidR="005D779F" w:rsidRDefault="005D779F">
            <w:pPr>
              <w:spacing w:line="240" w:lineRule="auto"/>
            </w:pPr>
          </w:p>
          <w:p w14:paraId="1CD9A614" w14:textId="1D9BFB69" w:rsidR="0088522C" w:rsidRDefault="0088522C" w:rsidP="0088522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 xml:space="preserve">To PCC: </w:t>
            </w:r>
            <w:r w:rsidR="00E15541">
              <w:t>SB</w:t>
            </w:r>
            <w:r w:rsidR="005D779F">
              <w:t xml:space="preserve">C </w:t>
            </w:r>
            <w:r w:rsidR="006A0BA1">
              <w:t xml:space="preserve">grant </w:t>
            </w:r>
            <w:r w:rsidR="000E0151">
              <w:t>for closed</w:t>
            </w:r>
            <w:r w:rsidR="006A0BA1">
              <w:t xml:space="preserve"> graveyard</w:t>
            </w:r>
            <w:r>
              <w:t xml:space="preserve">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776C876D" w14:textId="6A40A4D4" w:rsidR="00DE18B9" w:rsidRPr="00F3113D" w:rsidRDefault="00DE18B9" w:rsidP="004B76D5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1AAD71B3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£394.80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BDBD325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£1,250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49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2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971018">
    <w:abstractNumId w:val="6"/>
  </w:num>
  <w:num w:numId="5" w16cid:durableId="506403048">
    <w:abstractNumId w:val="4"/>
  </w:num>
  <w:num w:numId="6" w16cid:durableId="1854806297">
    <w:abstractNumId w:val="3"/>
  </w:num>
  <w:num w:numId="7" w16cid:durableId="662006851">
    <w:abstractNumId w:val="9"/>
  </w:num>
  <w:num w:numId="8" w16cid:durableId="798377908">
    <w:abstractNumId w:val="1"/>
  </w:num>
  <w:num w:numId="9" w16cid:durableId="1461846992">
    <w:abstractNumId w:val="5"/>
  </w:num>
  <w:num w:numId="10" w16cid:durableId="436482689">
    <w:abstractNumId w:val="0"/>
  </w:num>
  <w:num w:numId="11" w16cid:durableId="1647661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52"/>
    <w:rsid w:val="00013CB9"/>
    <w:rsid w:val="0002551F"/>
    <w:rsid w:val="00030282"/>
    <w:rsid w:val="0003057B"/>
    <w:rsid w:val="00030B8F"/>
    <w:rsid w:val="000316D8"/>
    <w:rsid w:val="00037042"/>
    <w:rsid w:val="0004176A"/>
    <w:rsid w:val="00060C76"/>
    <w:rsid w:val="0007361E"/>
    <w:rsid w:val="00083FD5"/>
    <w:rsid w:val="0008448C"/>
    <w:rsid w:val="0009031E"/>
    <w:rsid w:val="000905B8"/>
    <w:rsid w:val="000B69D5"/>
    <w:rsid w:val="000B78BE"/>
    <w:rsid w:val="000D2752"/>
    <w:rsid w:val="000E0151"/>
    <w:rsid w:val="000E26FC"/>
    <w:rsid w:val="001021F8"/>
    <w:rsid w:val="001359C4"/>
    <w:rsid w:val="00141517"/>
    <w:rsid w:val="00143AD4"/>
    <w:rsid w:val="0014484D"/>
    <w:rsid w:val="0015516A"/>
    <w:rsid w:val="00177878"/>
    <w:rsid w:val="001840C4"/>
    <w:rsid w:val="00196F99"/>
    <w:rsid w:val="001B5333"/>
    <w:rsid w:val="001C2081"/>
    <w:rsid w:val="001C33CF"/>
    <w:rsid w:val="001C3560"/>
    <w:rsid w:val="001C4D98"/>
    <w:rsid w:val="001C62D9"/>
    <w:rsid w:val="001D20E1"/>
    <w:rsid w:val="001F2F99"/>
    <w:rsid w:val="0020014C"/>
    <w:rsid w:val="0020477C"/>
    <w:rsid w:val="002053A0"/>
    <w:rsid w:val="00213D34"/>
    <w:rsid w:val="00225504"/>
    <w:rsid w:val="002474C6"/>
    <w:rsid w:val="00254298"/>
    <w:rsid w:val="00256696"/>
    <w:rsid w:val="00290A9D"/>
    <w:rsid w:val="002A0B9F"/>
    <w:rsid w:val="002A1CF4"/>
    <w:rsid w:val="002A74CF"/>
    <w:rsid w:val="002C2E01"/>
    <w:rsid w:val="002D535B"/>
    <w:rsid w:val="002F120F"/>
    <w:rsid w:val="00314948"/>
    <w:rsid w:val="0031639F"/>
    <w:rsid w:val="00325F02"/>
    <w:rsid w:val="003345FA"/>
    <w:rsid w:val="00345EE0"/>
    <w:rsid w:val="0034725A"/>
    <w:rsid w:val="00360D25"/>
    <w:rsid w:val="003618A4"/>
    <w:rsid w:val="00367522"/>
    <w:rsid w:val="0038446F"/>
    <w:rsid w:val="0039387E"/>
    <w:rsid w:val="00393EE6"/>
    <w:rsid w:val="003A364C"/>
    <w:rsid w:val="003B017F"/>
    <w:rsid w:val="003C7177"/>
    <w:rsid w:val="003E3F31"/>
    <w:rsid w:val="003E6643"/>
    <w:rsid w:val="00443C9F"/>
    <w:rsid w:val="0046678A"/>
    <w:rsid w:val="00483E97"/>
    <w:rsid w:val="00495B4C"/>
    <w:rsid w:val="004B0E9C"/>
    <w:rsid w:val="004B76D5"/>
    <w:rsid w:val="004C6B7E"/>
    <w:rsid w:val="004D4B88"/>
    <w:rsid w:val="004D5467"/>
    <w:rsid w:val="004E1E3D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46F8F"/>
    <w:rsid w:val="00555BB7"/>
    <w:rsid w:val="00560522"/>
    <w:rsid w:val="00593799"/>
    <w:rsid w:val="005A0035"/>
    <w:rsid w:val="005A0399"/>
    <w:rsid w:val="005A41F0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23A16"/>
    <w:rsid w:val="00635563"/>
    <w:rsid w:val="00643014"/>
    <w:rsid w:val="00646474"/>
    <w:rsid w:val="006568E7"/>
    <w:rsid w:val="00663A27"/>
    <w:rsid w:val="0066595C"/>
    <w:rsid w:val="006675E0"/>
    <w:rsid w:val="00675CB5"/>
    <w:rsid w:val="00676B2E"/>
    <w:rsid w:val="006856CE"/>
    <w:rsid w:val="00686371"/>
    <w:rsid w:val="006A0BA1"/>
    <w:rsid w:val="006A4E1D"/>
    <w:rsid w:val="006B3664"/>
    <w:rsid w:val="006E0AB3"/>
    <w:rsid w:val="006E7D63"/>
    <w:rsid w:val="006F0CDA"/>
    <w:rsid w:val="006F3638"/>
    <w:rsid w:val="007044C1"/>
    <w:rsid w:val="00706FC1"/>
    <w:rsid w:val="00720F67"/>
    <w:rsid w:val="00721502"/>
    <w:rsid w:val="00726268"/>
    <w:rsid w:val="007308A4"/>
    <w:rsid w:val="007320A5"/>
    <w:rsid w:val="00740F67"/>
    <w:rsid w:val="00750AA1"/>
    <w:rsid w:val="0075138C"/>
    <w:rsid w:val="00765A35"/>
    <w:rsid w:val="00775CD5"/>
    <w:rsid w:val="00776970"/>
    <w:rsid w:val="007802DB"/>
    <w:rsid w:val="00783051"/>
    <w:rsid w:val="007830D7"/>
    <w:rsid w:val="007A5E1F"/>
    <w:rsid w:val="007A6C50"/>
    <w:rsid w:val="007A6DAF"/>
    <w:rsid w:val="007B606E"/>
    <w:rsid w:val="007B6726"/>
    <w:rsid w:val="007C1117"/>
    <w:rsid w:val="007D4384"/>
    <w:rsid w:val="007E2728"/>
    <w:rsid w:val="007F2EC0"/>
    <w:rsid w:val="0080511B"/>
    <w:rsid w:val="0080529E"/>
    <w:rsid w:val="008147FD"/>
    <w:rsid w:val="00821E4B"/>
    <w:rsid w:val="00824E6A"/>
    <w:rsid w:val="00840110"/>
    <w:rsid w:val="00841F00"/>
    <w:rsid w:val="008533CC"/>
    <w:rsid w:val="0086482F"/>
    <w:rsid w:val="008665A0"/>
    <w:rsid w:val="00875109"/>
    <w:rsid w:val="0088265E"/>
    <w:rsid w:val="0088522C"/>
    <w:rsid w:val="008A6B29"/>
    <w:rsid w:val="008B4EC5"/>
    <w:rsid w:val="008E041C"/>
    <w:rsid w:val="008F2550"/>
    <w:rsid w:val="009004D8"/>
    <w:rsid w:val="009010F5"/>
    <w:rsid w:val="009036F4"/>
    <w:rsid w:val="00912D52"/>
    <w:rsid w:val="0092298E"/>
    <w:rsid w:val="00925FB9"/>
    <w:rsid w:val="009278C8"/>
    <w:rsid w:val="009309FE"/>
    <w:rsid w:val="00945655"/>
    <w:rsid w:val="00946944"/>
    <w:rsid w:val="009539B5"/>
    <w:rsid w:val="00981F3B"/>
    <w:rsid w:val="00984B4F"/>
    <w:rsid w:val="00990865"/>
    <w:rsid w:val="009B454A"/>
    <w:rsid w:val="009B6AD5"/>
    <w:rsid w:val="009D314A"/>
    <w:rsid w:val="009F09FC"/>
    <w:rsid w:val="00A00532"/>
    <w:rsid w:val="00A11683"/>
    <w:rsid w:val="00A2069B"/>
    <w:rsid w:val="00A30EBF"/>
    <w:rsid w:val="00A31554"/>
    <w:rsid w:val="00A322C9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A34AC"/>
    <w:rsid w:val="00AA3ADE"/>
    <w:rsid w:val="00AB2E5E"/>
    <w:rsid w:val="00AB58DE"/>
    <w:rsid w:val="00AB5F49"/>
    <w:rsid w:val="00AD1D6F"/>
    <w:rsid w:val="00AE498D"/>
    <w:rsid w:val="00B012D0"/>
    <w:rsid w:val="00B05D91"/>
    <w:rsid w:val="00B12197"/>
    <w:rsid w:val="00B129D8"/>
    <w:rsid w:val="00B21ACC"/>
    <w:rsid w:val="00B315CA"/>
    <w:rsid w:val="00B3324F"/>
    <w:rsid w:val="00B336F2"/>
    <w:rsid w:val="00B37AF8"/>
    <w:rsid w:val="00B40FFD"/>
    <w:rsid w:val="00B71D64"/>
    <w:rsid w:val="00B83198"/>
    <w:rsid w:val="00B85026"/>
    <w:rsid w:val="00BA77B3"/>
    <w:rsid w:val="00BB4613"/>
    <w:rsid w:val="00BB4672"/>
    <w:rsid w:val="00BB6246"/>
    <w:rsid w:val="00BB7246"/>
    <w:rsid w:val="00BD3E74"/>
    <w:rsid w:val="00BD64FA"/>
    <w:rsid w:val="00BF379B"/>
    <w:rsid w:val="00C07860"/>
    <w:rsid w:val="00C11835"/>
    <w:rsid w:val="00C13C02"/>
    <w:rsid w:val="00C258D0"/>
    <w:rsid w:val="00C271B5"/>
    <w:rsid w:val="00C30552"/>
    <w:rsid w:val="00C31357"/>
    <w:rsid w:val="00C6384E"/>
    <w:rsid w:val="00C83E4A"/>
    <w:rsid w:val="00C85247"/>
    <w:rsid w:val="00C911F0"/>
    <w:rsid w:val="00CA5A20"/>
    <w:rsid w:val="00CA607B"/>
    <w:rsid w:val="00CC4BCA"/>
    <w:rsid w:val="00CC6900"/>
    <w:rsid w:val="00CC7D1A"/>
    <w:rsid w:val="00CD0662"/>
    <w:rsid w:val="00CD4B96"/>
    <w:rsid w:val="00CD5666"/>
    <w:rsid w:val="00CF4E0D"/>
    <w:rsid w:val="00CF5392"/>
    <w:rsid w:val="00D15D71"/>
    <w:rsid w:val="00D301DC"/>
    <w:rsid w:val="00D3163D"/>
    <w:rsid w:val="00D32E1F"/>
    <w:rsid w:val="00D33DC6"/>
    <w:rsid w:val="00D5304D"/>
    <w:rsid w:val="00D742B9"/>
    <w:rsid w:val="00D76211"/>
    <w:rsid w:val="00D771C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E18B9"/>
    <w:rsid w:val="00DE5BA3"/>
    <w:rsid w:val="00DF61F4"/>
    <w:rsid w:val="00E15541"/>
    <w:rsid w:val="00E1652C"/>
    <w:rsid w:val="00E211AB"/>
    <w:rsid w:val="00E238C0"/>
    <w:rsid w:val="00E511C3"/>
    <w:rsid w:val="00E613C6"/>
    <w:rsid w:val="00E65367"/>
    <w:rsid w:val="00E813F9"/>
    <w:rsid w:val="00E85D7A"/>
    <w:rsid w:val="00EA04AA"/>
    <w:rsid w:val="00EA088F"/>
    <w:rsid w:val="00EA1514"/>
    <w:rsid w:val="00EA366A"/>
    <w:rsid w:val="00EC5EF5"/>
    <w:rsid w:val="00ED3907"/>
    <w:rsid w:val="00ED6C8E"/>
    <w:rsid w:val="00EF170E"/>
    <w:rsid w:val="00EF6AE0"/>
    <w:rsid w:val="00F00EA5"/>
    <w:rsid w:val="00F041A9"/>
    <w:rsid w:val="00F21F77"/>
    <w:rsid w:val="00F2780A"/>
    <w:rsid w:val="00F3113D"/>
    <w:rsid w:val="00F35C6D"/>
    <w:rsid w:val="00F525FB"/>
    <w:rsid w:val="00F557E0"/>
    <w:rsid w:val="00F60BC0"/>
    <w:rsid w:val="00F618C6"/>
    <w:rsid w:val="00F6774E"/>
    <w:rsid w:val="00F94448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E6E064E0-4488-4ACE-B331-FEB6E73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cp:lastPrinted>2022-06-06T12:33:00Z</cp:lastPrinted>
  <dcterms:created xsi:type="dcterms:W3CDTF">2022-06-20T15:48:00Z</dcterms:created>
  <dcterms:modified xsi:type="dcterms:W3CDTF">2022-06-27T18:57:00Z</dcterms:modified>
</cp:coreProperties>
</file>